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24"/>
          <w:szCs w:val="24"/>
        </w:rPr>
      </w:pPr>
      <w:r>
        <w:rPr>
          <w:rFonts w:hint="eastAsia"/>
          <w:sz w:val="24"/>
          <w:szCs w:val="24"/>
        </w:rPr>
        <w:t>附件二</w:t>
      </w:r>
    </w:p>
    <w:p>
      <w:pPr>
        <w:spacing w:line="360" w:lineRule="auto"/>
        <w:rPr>
          <w:sz w:val="24"/>
          <w:szCs w:val="24"/>
        </w:rPr>
      </w:pPr>
      <w:r>
        <w:rPr>
          <w:rFonts w:hint="eastAsia"/>
          <w:sz w:val="32"/>
          <w:szCs w:val="32"/>
        </w:rPr>
        <w:t>货物需求一览表及技术规格</w:t>
      </w:r>
    </w:p>
    <w:p>
      <w:pPr>
        <w:pStyle w:val="7"/>
        <w:numPr>
          <w:ilvl w:val="0"/>
          <w:numId w:val="1"/>
        </w:numPr>
        <w:spacing w:line="240" w:lineRule="atLeast"/>
        <w:ind w:firstLineChars="0"/>
        <w:rPr>
          <w:rFonts w:ascii="宋体" w:hAnsi="宋体"/>
          <w:b/>
          <w:bCs/>
          <w:sz w:val="24"/>
          <w:szCs w:val="24"/>
        </w:rPr>
      </w:pPr>
      <w:r>
        <w:rPr>
          <w:rFonts w:hint="eastAsia" w:ascii="宋体" w:hAnsi="宋体"/>
          <w:b/>
          <w:bCs/>
          <w:sz w:val="24"/>
          <w:szCs w:val="24"/>
        </w:rPr>
        <w:t>货物需求一览表</w:t>
      </w:r>
    </w:p>
    <w:tbl>
      <w:tblPr>
        <w:tblStyle w:val="4"/>
        <w:tblW w:w="833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436"/>
        <w:gridCol w:w="18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6436" w:type="dxa"/>
            <w:tcBorders>
              <w:top w:val="single" w:color="auto" w:sz="12" w:space="0"/>
            </w:tcBorders>
            <w:noWrap w:val="0"/>
            <w:vAlign w:val="center"/>
          </w:tcPr>
          <w:p>
            <w:pPr>
              <w:overflowPunct w:val="0"/>
              <w:ind w:firstLine="480" w:firstLineChars="200"/>
              <w:jc w:val="center"/>
              <w:rPr>
                <w:sz w:val="24"/>
                <w:szCs w:val="24"/>
              </w:rPr>
            </w:pPr>
            <w:r>
              <w:rPr>
                <w:rFonts w:hint="eastAsia"/>
                <w:sz w:val="24"/>
                <w:szCs w:val="24"/>
              </w:rPr>
              <w:t>名称</w:t>
            </w:r>
          </w:p>
        </w:tc>
        <w:tc>
          <w:tcPr>
            <w:tcW w:w="1898" w:type="dxa"/>
            <w:tcBorders>
              <w:top w:val="single" w:color="auto" w:sz="12" w:space="0"/>
            </w:tcBorders>
            <w:noWrap w:val="0"/>
            <w:vAlign w:val="center"/>
          </w:tcPr>
          <w:p>
            <w:pPr>
              <w:overflowPunct w:val="0"/>
              <w:jc w:val="center"/>
              <w:rPr>
                <w:sz w:val="24"/>
                <w:szCs w:val="24"/>
              </w:rPr>
            </w:pPr>
            <w:r>
              <w:rPr>
                <w:rFonts w:hint="eastAsia"/>
                <w:sz w:val="24"/>
                <w:szCs w:val="24"/>
              </w:rPr>
              <w:t>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12" w:hRule="atLeast"/>
          <w:jc w:val="center"/>
        </w:trPr>
        <w:tc>
          <w:tcPr>
            <w:tcW w:w="6436" w:type="dxa"/>
            <w:noWrap w:val="0"/>
            <w:vAlign w:val="center"/>
          </w:tcPr>
          <w:p>
            <w:pPr>
              <w:overflowPunct w:val="0"/>
              <w:rPr>
                <w:sz w:val="24"/>
                <w:szCs w:val="24"/>
              </w:rPr>
            </w:pPr>
            <w:r>
              <w:rPr>
                <w:rFonts w:hint="eastAsia"/>
                <w:sz w:val="24"/>
                <w:szCs w:val="24"/>
              </w:rPr>
              <w:t>风洞测振支架</w:t>
            </w:r>
          </w:p>
        </w:tc>
        <w:tc>
          <w:tcPr>
            <w:tcW w:w="1898" w:type="dxa"/>
            <w:noWrap w:val="0"/>
            <w:vAlign w:val="center"/>
          </w:tcPr>
          <w:p>
            <w:pPr>
              <w:overflowPunct w:val="0"/>
              <w:jc w:val="center"/>
              <w:rPr>
                <w:sz w:val="24"/>
                <w:szCs w:val="24"/>
              </w:rPr>
            </w:pPr>
            <w:r>
              <w:rPr>
                <w:sz w:val="24"/>
                <w:szCs w:val="24"/>
              </w:rPr>
              <w:t>1</w:t>
            </w:r>
            <w:r>
              <w:rPr>
                <w:rFonts w:hint="eastAsia"/>
                <w:sz w:val="24"/>
                <w:szCs w:val="24"/>
              </w:rPr>
              <w:t>套</w:t>
            </w:r>
          </w:p>
        </w:tc>
      </w:tr>
    </w:tbl>
    <w:p>
      <w:pPr>
        <w:spacing w:line="240" w:lineRule="atLeast"/>
        <w:rPr>
          <w:rFonts w:ascii="宋体"/>
          <w:b/>
          <w:bCs/>
          <w:sz w:val="24"/>
          <w:szCs w:val="24"/>
        </w:rPr>
      </w:pPr>
    </w:p>
    <w:p>
      <w:pPr>
        <w:spacing w:line="240" w:lineRule="atLeast"/>
        <w:rPr>
          <w:rFonts w:ascii="宋体"/>
          <w:b/>
          <w:bCs/>
          <w:sz w:val="24"/>
        </w:rPr>
      </w:pPr>
      <w:r>
        <w:rPr>
          <w:rFonts w:hint="eastAsia" w:ascii="宋体" w:hAnsi="宋体"/>
          <w:b/>
          <w:bCs/>
          <w:sz w:val="24"/>
          <w:szCs w:val="24"/>
        </w:rPr>
        <w:t>二</w:t>
      </w:r>
      <w:r>
        <w:rPr>
          <w:rFonts w:ascii="宋体" w:hAnsi="宋体"/>
          <w:b/>
          <w:bCs/>
          <w:sz w:val="24"/>
          <w:szCs w:val="24"/>
        </w:rPr>
        <w:t xml:space="preserve">. </w:t>
      </w:r>
      <w:r>
        <w:rPr>
          <w:rFonts w:hint="eastAsia" w:ascii="宋体" w:hAnsi="宋体"/>
          <w:b/>
          <w:bCs/>
          <w:sz w:val="24"/>
        </w:rPr>
        <w:t>买方作业设备条件</w:t>
      </w:r>
    </w:p>
    <w:p>
      <w:pPr>
        <w:numPr>
          <w:ilvl w:val="1"/>
          <w:numId w:val="2"/>
        </w:numPr>
        <w:rPr>
          <w:rFonts w:ascii="宋体" w:hAnsi="宋体"/>
          <w:sz w:val="24"/>
        </w:rPr>
      </w:pPr>
      <w:r>
        <w:rPr>
          <w:rFonts w:hint="eastAsia"/>
          <w:sz w:val="24"/>
          <w:szCs w:val="24"/>
        </w:rPr>
        <w:t>风洞外形尺寸为2800x2100，测振支架承受载荷为1600N，加速度为0.02m/s</w:t>
      </w:r>
      <w:r>
        <w:rPr>
          <w:rFonts w:hint="eastAsia"/>
          <w:sz w:val="24"/>
          <w:szCs w:val="24"/>
          <w:vertAlign w:val="superscript"/>
        </w:rPr>
        <w:t>2</w:t>
      </w:r>
      <w:r>
        <w:rPr>
          <w:rFonts w:hint="eastAsia"/>
          <w:sz w:val="24"/>
          <w:szCs w:val="24"/>
        </w:rPr>
        <w:t>。</w:t>
      </w:r>
    </w:p>
    <w:p>
      <w:pPr>
        <w:spacing w:line="240" w:lineRule="atLeast"/>
        <w:rPr>
          <w:rFonts w:ascii="宋体" w:hAnsi="宋体"/>
          <w:b/>
          <w:bCs/>
          <w:sz w:val="24"/>
          <w:szCs w:val="24"/>
        </w:rPr>
      </w:pPr>
      <w:r>
        <w:rPr>
          <w:rFonts w:hint="eastAsia" w:ascii="宋体" w:hAnsi="宋体"/>
          <w:b/>
          <w:bCs/>
          <w:sz w:val="24"/>
          <w:szCs w:val="24"/>
        </w:rPr>
        <w:t>三．测振支架满足以下基本要求：</w:t>
      </w:r>
    </w:p>
    <w:p>
      <w:pPr>
        <w:numPr>
          <w:ilvl w:val="0"/>
          <w:numId w:val="3"/>
        </w:numPr>
        <w:spacing w:line="240" w:lineRule="atLeast"/>
        <w:rPr>
          <w:rFonts w:ascii="宋体" w:hAnsi="宋体"/>
          <w:sz w:val="24"/>
        </w:rPr>
      </w:pPr>
      <w:r>
        <w:rPr>
          <w:rFonts w:hint="eastAsia"/>
          <w:sz w:val="24"/>
          <w:szCs w:val="24"/>
        </w:rPr>
        <w:t>测振支架工作时变形量小于1mm，需要对风洞测振支架进行有限元分析来模拟仿真工作时受力及形变情况。</w:t>
      </w:r>
    </w:p>
    <w:p>
      <w:pPr>
        <w:numPr>
          <w:ilvl w:val="0"/>
          <w:numId w:val="3"/>
        </w:numPr>
        <w:spacing w:line="240" w:lineRule="atLeast"/>
        <w:rPr>
          <w:rFonts w:ascii="宋体" w:hAnsi="宋体"/>
          <w:sz w:val="24"/>
        </w:rPr>
      </w:pPr>
      <w:r>
        <w:rPr>
          <w:rFonts w:hint="eastAsia"/>
          <w:sz w:val="24"/>
          <w:szCs w:val="24"/>
        </w:rPr>
        <w:t>测振支架工作具备防错装置</w:t>
      </w:r>
      <w:r>
        <w:rPr>
          <w:rFonts w:hint="eastAsia" w:ascii="宋体" w:hAnsi="宋体"/>
          <w:sz w:val="24"/>
        </w:rPr>
        <w:t>。</w:t>
      </w:r>
    </w:p>
    <w:p>
      <w:pPr>
        <w:widowControl/>
        <w:numPr>
          <w:ilvl w:val="0"/>
          <w:numId w:val="3"/>
        </w:numPr>
        <w:spacing w:line="360" w:lineRule="auto"/>
        <w:jc w:val="left"/>
        <w:rPr>
          <w:rFonts w:hint="eastAsia"/>
          <w:sz w:val="24"/>
          <w:szCs w:val="24"/>
        </w:rPr>
      </w:pPr>
      <w:r>
        <w:rPr>
          <w:rFonts w:hint="eastAsia" w:ascii="宋体" w:hAnsi="宋体"/>
          <w:sz w:val="24"/>
        </w:rPr>
        <w:t>转动角度精度控制在±0.1度之内。</w:t>
      </w:r>
    </w:p>
    <w:p>
      <w:pPr>
        <w:widowControl/>
        <w:numPr>
          <w:ilvl w:val="0"/>
          <w:numId w:val="3"/>
        </w:numPr>
        <w:spacing w:line="360" w:lineRule="auto"/>
        <w:jc w:val="left"/>
        <w:rPr>
          <w:sz w:val="24"/>
          <w:szCs w:val="24"/>
        </w:rPr>
      </w:pPr>
      <w:r>
        <w:rPr>
          <w:rFonts w:hint="eastAsia" w:ascii="宋体" w:hAnsi="宋体"/>
          <w:color w:val="000000"/>
          <w:sz w:val="24"/>
        </w:rPr>
        <w:t>本体要求外观防锈处理。</w:t>
      </w:r>
    </w:p>
    <w:p>
      <w:bookmarkStart w:id="0" w:name="_GoBack"/>
      <w:bookmarkEnd w:id="0"/>
    </w:p>
    <w:sectPr>
      <w:headerReference r:id="rId3" w:type="default"/>
      <w:footerReference r:id="rId4" w:type="default"/>
      <w:footerReference r:id="rId5" w:type="even"/>
      <w:pgSz w:w="11906" w:h="16838"/>
      <w:pgMar w:top="1440" w:right="1418" w:bottom="1418" w:left="1418"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3</w:t>
    </w:r>
    <w:r>
      <w:rPr>
        <w:rStyle w:val="6"/>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6" w:space="2"/>
      </w:pBdr>
      <w:jc w:val="both"/>
    </w:pPr>
    <w:r>
      <w:rPr>
        <w:rFonts w:hint="eastAsia" w:ascii="宋体" w:hAnsi="宋体"/>
      </w:rPr>
      <w:t>重庆</w:t>
    </w:r>
    <w:r>
      <w:rPr>
        <w:rFonts w:hint="eastAsia" w:ascii="宋体" w:hAnsi="宋体"/>
        <w:lang w:eastAsia="zh-CN"/>
      </w:rPr>
      <w:t>大学</w:t>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5726"/>
    <w:multiLevelType w:val="multilevel"/>
    <w:tmpl w:val="16185726"/>
    <w:lvl w:ilvl="0" w:tentative="0">
      <w:start w:val="1"/>
      <w:numFmt w:val="decimal"/>
      <w:lvlText w:val="%1."/>
      <w:lvlJc w:val="left"/>
      <w:pPr>
        <w:tabs>
          <w:tab w:val="left" w:pos="480"/>
        </w:tabs>
        <w:ind w:left="480"/>
      </w:pPr>
      <w:rPr>
        <w:rFonts w:hint="eastAsia" w:cs="Times New Roman"/>
      </w:rPr>
    </w:lvl>
    <w:lvl w:ilvl="1" w:tentative="0">
      <w:start w:val="1"/>
      <w:numFmt w:val="decimal"/>
      <w:lvlText w:val="%2."/>
      <w:lvlJc w:val="left"/>
      <w:pPr>
        <w:tabs>
          <w:tab w:val="left" w:pos="420"/>
        </w:tabs>
        <w:ind w:left="42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3F380FEB"/>
    <w:multiLevelType w:val="multilevel"/>
    <w:tmpl w:val="3F380FEB"/>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16A3679"/>
    <w:multiLevelType w:val="multilevel"/>
    <w:tmpl w:val="716A3679"/>
    <w:lvl w:ilvl="0" w:tentative="0">
      <w:start w:val="1"/>
      <w:numFmt w:val="decimal"/>
      <w:lvlText w:val="%1."/>
      <w:lvlJc w:val="left"/>
      <w:pPr>
        <w:tabs>
          <w:tab w:val="left" w:pos="660"/>
        </w:tabs>
        <w:ind w:left="660" w:hanging="420"/>
      </w:pPr>
      <w:rPr>
        <w:rFonts w:hint="eastAsia" w:cs="Times New Roman"/>
        <w:color w:val="auto"/>
      </w:rPr>
    </w:lvl>
    <w:lvl w:ilvl="1" w:tentative="0">
      <w:start w:val="1"/>
      <w:numFmt w:val="decimal"/>
      <w:lvlText w:val="%2)"/>
      <w:lvlJc w:val="left"/>
      <w:pPr>
        <w:tabs>
          <w:tab w:val="left" w:pos="420"/>
        </w:tabs>
        <w:ind w:left="420" w:hanging="420"/>
      </w:pPr>
      <w:rPr>
        <w:rFonts w:hint="eastAsia" w:cs="Times New Roman"/>
      </w:rPr>
    </w:lvl>
    <w:lvl w:ilvl="2" w:tentative="0">
      <w:start w:val="1"/>
      <w:numFmt w:val="lowerRoman"/>
      <w:lvlText w:val="%3."/>
      <w:lvlJc w:val="right"/>
      <w:pPr>
        <w:tabs>
          <w:tab w:val="left" w:pos="225"/>
        </w:tabs>
        <w:ind w:left="225" w:hanging="420"/>
      </w:pPr>
      <w:rPr>
        <w:rFonts w:cs="Times New Roman"/>
      </w:rPr>
    </w:lvl>
    <w:lvl w:ilvl="3" w:tentative="0">
      <w:start w:val="1"/>
      <w:numFmt w:val="decimal"/>
      <w:lvlText w:val="%4."/>
      <w:lvlJc w:val="left"/>
      <w:pPr>
        <w:tabs>
          <w:tab w:val="left" w:pos="645"/>
        </w:tabs>
        <w:ind w:left="645" w:hanging="420"/>
      </w:pPr>
      <w:rPr>
        <w:rFonts w:cs="Times New Roman"/>
      </w:rPr>
    </w:lvl>
    <w:lvl w:ilvl="4" w:tentative="0">
      <w:start w:val="1"/>
      <w:numFmt w:val="lowerLetter"/>
      <w:lvlText w:val="%5)"/>
      <w:lvlJc w:val="left"/>
      <w:pPr>
        <w:tabs>
          <w:tab w:val="left" w:pos="1065"/>
        </w:tabs>
        <w:ind w:left="1065" w:hanging="420"/>
      </w:pPr>
      <w:rPr>
        <w:rFonts w:cs="Times New Roman"/>
      </w:rPr>
    </w:lvl>
    <w:lvl w:ilvl="5" w:tentative="0">
      <w:start w:val="1"/>
      <w:numFmt w:val="lowerRoman"/>
      <w:lvlText w:val="%6."/>
      <w:lvlJc w:val="right"/>
      <w:pPr>
        <w:tabs>
          <w:tab w:val="left" w:pos="1485"/>
        </w:tabs>
        <w:ind w:left="1485" w:hanging="420"/>
      </w:pPr>
      <w:rPr>
        <w:rFonts w:cs="Times New Roman"/>
      </w:rPr>
    </w:lvl>
    <w:lvl w:ilvl="6" w:tentative="0">
      <w:start w:val="1"/>
      <w:numFmt w:val="decimal"/>
      <w:lvlText w:val="%7."/>
      <w:lvlJc w:val="left"/>
      <w:pPr>
        <w:tabs>
          <w:tab w:val="left" w:pos="1905"/>
        </w:tabs>
        <w:ind w:left="1905" w:hanging="420"/>
      </w:pPr>
      <w:rPr>
        <w:rFonts w:cs="Times New Roman"/>
      </w:rPr>
    </w:lvl>
    <w:lvl w:ilvl="7" w:tentative="0">
      <w:start w:val="1"/>
      <w:numFmt w:val="lowerLetter"/>
      <w:lvlText w:val="%8)"/>
      <w:lvlJc w:val="left"/>
      <w:pPr>
        <w:tabs>
          <w:tab w:val="left" w:pos="2325"/>
        </w:tabs>
        <w:ind w:left="2325" w:hanging="420"/>
      </w:pPr>
      <w:rPr>
        <w:rFonts w:cs="Times New Roman"/>
      </w:rPr>
    </w:lvl>
    <w:lvl w:ilvl="8" w:tentative="0">
      <w:start w:val="1"/>
      <w:numFmt w:val="lowerRoman"/>
      <w:lvlText w:val="%9."/>
      <w:lvlJc w:val="right"/>
      <w:pPr>
        <w:tabs>
          <w:tab w:val="left" w:pos="2745"/>
        </w:tabs>
        <w:ind w:left="2745"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C35687"/>
    <w:rsid w:val="38DD5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character" w:styleId="6">
    <w:name w:val="page number"/>
    <w:qFormat/>
    <w:uiPriority w:val="99"/>
    <w:rPr>
      <w:rFonts w:cs="Times New Roman"/>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2020-01-13T03:15:00Z</dcterms:created>
  <dc:creator>dell</dc:creator>
  <cp:lastModifiedBy>未曾见远山</cp:lastModifiedBy>
  <dcterms:modified xsi:type="dcterms:W3CDTF">2020-01-13T09:14:55Z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